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10D" w:rsidP="2608F9AA" w:rsidRDefault="35AF416A" w14:paraId="5D520C5E" w14:textId="283D4D9A">
      <w:pPr>
        <w:jc w:val="center"/>
        <w:rPr>
          <w:rFonts w:eastAsiaTheme="minorEastAsia"/>
          <w:b/>
          <w:bCs/>
          <w:sz w:val="22"/>
          <w:szCs w:val="22"/>
        </w:rPr>
      </w:pPr>
      <w:r w:rsidRPr="35AF416A">
        <w:rPr>
          <w:rFonts w:eastAsiaTheme="minorEastAsia"/>
          <w:b/>
          <w:bCs/>
          <w:sz w:val="22"/>
          <w:szCs w:val="22"/>
        </w:rPr>
        <w:t>An Educator’s Checklist for Navigating a Challenging Level II Fieldwork</w:t>
      </w:r>
    </w:p>
    <w:p w:rsidR="3AE0B5CD" w:rsidP="2608F9AA" w:rsidRDefault="35AF416A" w14:paraId="19B5FDFB" w14:textId="65087541">
      <w:pPr>
        <w:jc w:val="center"/>
        <w:rPr>
          <w:rFonts w:eastAsiaTheme="minorEastAsia"/>
          <w:b/>
          <w:bCs/>
          <w:sz w:val="22"/>
          <w:szCs w:val="22"/>
        </w:rPr>
      </w:pPr>
      <w:r w:rsidRPr="35AF416A">
        <w:rPr>
          <w:rFonts w:eastAsiaTheme="minorEastAsia"/>
          <w:b/>
          <w:bCs/>
          <w:sz w:val="22"/>
          <w:szCs w:val="22"/>
        </w:rPr>
        <w:t>Step 1: Facilitators for Student Learning</w:t>
      </w:r>
    </w:p>
    <w:p w:rsidR="70F8EFBF" w:rsidP="2608F9AA" w:rsidRDefault="70F8EFBF" w14:paraId="57707064" w14:textId="2D6546E5">
      <w:pPr>
        <w:rPr>
          <w:rFonts w:eastAsiaTheme="minorEastAsia"/>
          <w:sz w:val="22"/>
          <w:szCs w:val="22"/>
        </w:rPr>
      </w:pPr>
    </w:p>
    <w:p w:rsidR="70F8EFBF" w:rsidP="2608F9AA" w:rsidRDefault="7AB1A8CA" w14:paraId="4E089511" w14:textId="22C8005A">
      <w:pPr>
        <w:rPr>
          <w:rFonts w:eastAsiaTheme="minorEastAsia"/>
          <w:sz w:val="22"/>
          <w:szCs w:val="22"/>
        </w:rPr>
      </w:pPr>
      <w:r w:rsidRPr="7AB1A8CA">
        <w:rPr>
          <w:rFonts w:eastAsiaTheme="minorEastAsia"/>
          <w:sz w:val="22"/>
          <w:szCs w:val="22"/>
          <w:u w:val="single"/>
        </w:rPr>
        <w:t>Learning Environment</w:t>
      </w:r>
      <w:r w:rsidRPr="7AB1A8CA">
        <w:rPr>
          <w:rFonts w:eastAsiaTheme="minorEastAsia"/>
          <w:sz w:val="22"/>
          <w:szCs w:val="22"/>
        </w:rPr>
        <w:t>:</w:t>
      </w:r>
    </w:p>
    <w:p w:rsidR="70F8EFBF" w:rsidP="2608F9AA" w:rsidRDefault="3E7C2C20" w14:paraId="4563F27F" w14:textId="41BFC69F">
      <w:pPr>
        <w:pStyle w:val="ListParagraph"/>
        <w:numPr>
          <w:ilvl w:val="0"/>
          <w:numId w:val="4"/>
        </w:numPr>
        <w:spacing w:line="259" w:lineRule="auto"/>
        <w:rPr>
          <w:rFonts w:eastAsiaTheme="minorEastAsia"/>
          <w:sz w:val="22"/>
          <w:szCs w:val="22"/>
        </w:rPr>
      </w:pPr>
      <w:r w:rsidRPr="3E7C2C20">
        <w:rPr>
          <w:rFonts w:eastAsiaTheme="minorEastAsia"/>
          <w:sz w:val="22"/>
          <w:szCs w:val="22"/>
        </w:rPr>
        <w:t>Has a thorough orientation with an introduction to the facility, staff, and resources been provided?</w:t>
      </w:r>
    </w:p>
    <w:p w:rsidR="70F8EFBF" w:rsidP="2608F9AA" w:rsidRDefault="2608F9AA" w14:paraId="6E994E08" w14:textId="6D0005BE">
      <w:pPr>
        <w:pStyle w:val="ListParagraph"/>
        <w:numPr>
          <w:ilvl w:val="0"/>
          <w:numId w:val="4"/>
        </w:numPr>
        <w:spacing w:line="259" w:lineRule="auto"/>
        <w:rPr>
          <w:rFonts w:eastAsiaTheme="minorEastAsia"/>
          <w:sz w:val="22"/>
          <w:szCs w:val="22"/>
        </w:rPr>
      </w:pPr>
      <w:r w:rsidRPr="2608F9AA">
        <w:rPr>
          <w:rFonts w:eastAsiaTheme="minorEastAsia"/>
          <w:sz w:val="22"/>
          <w:szCs w:val="22"/>
        </w:rPr>
        <w:t>Have site specific learning objectives or an 8/12-week outline been clearly identified and reviewed?</w:t>
      </w:r>
    </w:p>
    <w:p w:rsidR="43A85953" w:rsidP="2608F9AA" w:rsidRDefault="2608F9AA" w14:paraId="40C0CEF2" w14:textId="52F22864">
      <w:pPr>
        <w:pStyle w:val="ListParagraph"/>
        <w:numPr>
          <w:ilvl w:val="0"/>
          <w:numId w:val="4"/>
        </w:numPr>
        <w:spacing w:line="259" w:lineRule="auto"/>
        <w:rPr>
          <w:rFonts w:eastAsiaTheme="minorEastAsia"/>
          <w:sz w:val="22"/>
          <w:szCs w:val="22"/>
        </w:rPr>
      </w:pPr>
      <w:r w:rsidRPr="2608F9AA">
        <w:rPr>
          <w:rFonts w:eastAsiaTheme="minorEastAsia"/>
          <w:sz w:val="22"/>
          <w:szCs w:val="22"/>
        </w:rPr>
        <w:t xml:space="preserve">Does the student have a personal </w:t>
      </w:r>
      <w:r w:rsidRPr="2608F9AA" w:rsidR="006427D1">
        <w:rPr>
          <w:rFonts w:eastAsiaTheme="minorEastAsia"/>
          <w:sz w:val="22"/>
          <w:szCs w:val="22"/>
        </w:rPr>
        <w:t>workspace</w:t>
      </w:r>
      <w:r w:rsidRPr="2608F9AA">
        <w:rPr>
          <w:rFonts w:eastAsiaTheme="minorEastAsia"/>
          <w:sz w:val="22"/>
          <w:szCs w:val="22"/>
        </w:rPr>
        <w:t xml:space="preserve"> to utilize easily?</w:t>
      </w:r>
    </w:p>
    <w:p w:rsidR="15C850F6" w:rsidP="2608F9AA" w:rsidRDefault="2608F9AA" w14:paraId="79BC4131" w14:textId="7E81BFF5">
      <w:pPr>
        <w:pStyle w:val="ListParagraph"/>
        <w:numPr>
          <w:ilvl w:val="0"/>
          <w:numId w:val="4"/>
        </w:numPr>
        <w:spacing w:line="259" w:lineRule="auto"/>
        <w:rPr>
          <w:rFonts w:eastAsiaTheme="minorEastAsia"/>
          <w:sz w:val="22"/>
          <w:szCs w:val="22"/>
        </w:rPr>
      </w:pPr>
      <w:r w:rsidRPr="2608F9AA">
        <w:rPr>
          <w:rFonts w:eastAsiaTheme="minorEastAsia"/>
          <w:sz w:val="22"/>
          <w:szCs w:val="22"/>
        </w:rPr>
        <w:t xml:space="preserve">Are all members of the interdisciplinary team and support personnel facilitators to learning? Example, are they welcoming, friendly, supportive, and inclusive? </w:t>
      </w:r>
    </w:p>
    <w:p w:rsidR="420BB411" w:rsidP="2608F9AA" w:rsidRDefault="2608F9AA" w14:paraId="0DA09AE1" w14:textId="305E5B9B">
      <w:pPr>
        <w:pStyle w:val="ListParagraph"/>
        <w:numPr>
          <w:ilvl w:val="0"/>
          <w:numId w:val="4"/>
        </w:numPr>
        <w:spacing w:line="259" w:lineRule="auto"/>
        <w:rPr>
          <w:rFonts w:eastAsiaTheme="minorEastAsia"/>
          <w:sz w:val="22"/>
          <w:szCs w:val="22"/>
        </w:rPr>
      </w:pPr>
      <w:r w:rsidRPr="2608F9AA">
        <w:rPr>
          <w:rFonts w:eastAsiaTheme="minorEastAsia"/>
          <w:sz w:val="22"/>
          <w:szCs w:val="22"/>
        </w:rPr>
        <w:t>Does the student have access to all resources needed to treat clients with current best practices?</w:t>
      </w:r>
    </w:p>
    <w:p w:rsidR="43A85953" w:rsidP="2608F9AA" w:rsidRDefault="43A85953" w14:paraId="7D1F15BA" w14:textId="4269E1C3">
      <w:pPr>
        <w:spacing w:line="259" w:lineRule="auto"/>
        <w:rPr>
          <w:rFonts w:eastAsiaTheme="minorEastAsia"/>
          <w:sz w:val="22"/>
          <w:szCs w:val="22"/>
        </w:rPr>
      </w:pPr>
    </w:p>
    <w:p w:rsidR="43A85953" w:rsidP="2608F9AA" w:rsidRDefault="22315924" w14:paraId="1DFA27EB" w14:textId="02C492CF">
      <w:pPr>
        <w:spacing w:line="259" w:lineRule="auto"/>
        <w:rPr>
          <w:rFonts w:eastAsiaTheme="minorEastAsia"/>
          <w:sz w:val="22"/>
          <w:szCs w:val="22"/>
        </w:rPr>
      </w:pPr>
      <w:r w:rsidRPr="22315924">
        <w:rPr>
          <w:rFonts w:eastAsiaTheme="minorEastAsia"/>
          <w:sz w:val="22"/>
          <w:szCs w:val="22"/>
          <w:u w:val="single"/>
        </w:rPr>
        <w:t>Student</w:t>
      </w:r>
      <w:r w:rsidRPr="22315924">
        <w:rPr>
          <w:rFonts w:eastAsiaTheme="minorEastAsia"/>
          <w:sz w:val="22"/>
          <w:szCs w:val="22"/>
        </w:rPr>
        <w:t>:</w:t>
      </w:r>
    </w:p>
    <w:p w:rsidR="60DFD07B" w:rsidP="22315924" w:rsidRDefault="22315924" w14:paraId="3BA04B84" w14:textId="4D1908B2">
      <w:pPr>
        <w:pStyle w:val="ListParagraph"/>
        <w:numPr>
          <w:ilvl w:val="0"/>
          <w:numId w:val="3"/>
        </w:numPr>
        <w:spacing w:line="259" w:lineRule="auto"/>
        <w:rPr>
          <w:sz w:val="22"/>
          <w:szCs w:val="22"/>
        </w:rPr>
      </w:pPr>
      <w:r w:rsidRPr="22315924">
        <w:rPr>
          <w:rFonts w:eastAsiaTheme="minorEastAsia"/>
          <w:sz w:val="22"/>
          <w:szCs w:val="22"/>
        </w:rPr>
        <w:t>Has the student taken accountability and acknowledged their current level of performance?</w:t>
      </w:r>
    </w:p>
    <w:p w:rsidR="60DFD07B" w:rsidP="22315924" w:rsidRDefault="22315924" w14:paraId="03DCFD16" w14:textId="2DDAAFBF">
      <w:pPr>
        <w:pStyle w:val="ListParagraph"/>
        <w:numPr>
          <w:ilvl w:val="0"/>
          <w:numId w:val="3"/>
        </w:numPr>
        <w:spacing w:line="259" w:lineRule="auto"/>
        <w:rPr>
          <w:rFonts w:eastAsiaTheme="minorEastAsia"/>
          <w:sz w:val="22"/>
          <w:szCs w:val="22"/>
        </w:rPr>
      </w:pPr>
      <w:r w:rsidRPr="22315924">
        <w:rPr>
          <w:rFonts w:eastAsiaTheme="minorEastAsia"/>
          <w:sz w:val="22"/>
          <w:szCs w:val="22"/>
        </w:rPr>
        <w:t>Has the student served as a collaborator in their learning experience? Example, have they communicated their learning style, asked for supervision or teaching changes, requested feedback, and demonstrated initiative?</w:t>
      </w:r>
    </w:p>
    <w:p w:rsidR="43A85953" w:rsidP="22315924" w:rsidRDefault="43A85953" w14:paraId="581FD9AF" w14:textId="507FB246">
      <w:pPr>
        <w:spacing w:line="259" w:lineRule="auto"/>
        <w:rPr>
          <w:rFonts w:eastAsiaTheme="minorEastAsia"/>
          <w:sz w:val="22"/>
          <w:szCs w:val="22"/>
        </w:rPr>
      </w:pPr>
    </w:p>
    <w:p w:rsidR="43A85953" w:rsidP="2608F9AA" w:rsidRDefault="3E7C2C20" w14:paraId="5AC3D322" w14:textId="2ECFE89A">
      <w:pPr>
        <w:spacing w:line="259" w:lineRule="auto"/>
        <w:rPr>
          <w:rFonts w:eastAsiaTheme="minorEastAsia"/>
          <w:sz w:val="22"/>
          <w:szCs w:val="22"/>
        </w:rPr>
      </w:pPr>
      <w:r w:rsidRPr="3E7C2C20">
        <w:rPr>
          <w:rFonts w:eastAsiaTheme="minorEastAsia"/>
          <w:sz w:val="22"/>
          <w:szCs w:val="22"/>
          <w:u w:val="single"/>
        </w:rPr>
        <w:t>Educator</w:t>
      </w:r>
      <w:r w:rsidRPr="3E7C2C20">
        <w:rPr>
          <w:rFonts w:eastAsiaTheme="minorEastAsia"/>
          <w:sz w:val="22"/>
          <w:szCs w:val="22"/>
        </w:rPr>
        <w:t>:</w:t>
      </w:r>
    </w:p>
    <w:p w:rsidR="43A85953" w:rsidP="2608F9AA" w:rsidRDefault="3E7C2C20" w14:paraId="49F2851F" w14:textId="454BB29C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3E7C2C20">
        <w:rPr>
          <w:rFonts w:eastAsiaTheme="minorEastAsia"/>
          <w:sz w:val="22"/>
          <w:szCs w:val="22"/>
        </w:rPr>
        <w:t>Have I used collaborative teaching strategies? Example, the educator acts as a mentor rather than a supervisor by providing guidance when necessary.</w:t>
      </w:r>
    </w:p>
    <w:p w:rsidR="43A85953" w:rsidP="2608F9AA" w:rsidRDefault="3E7C2C20" w14:paraId="71C99746" w14:textId="36FFA4A5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3E7C2C20">
        <w:rPr>
          <w:rFonts w:eastAsiaTheme="minorEastAsia"/>
          <w:sz w:val="22"/>
          <w:szCs w:val="22"/>
        </w:rPr>
        <w:t xml:space="preserve">Have I been a collaborative educator? </w:t>
      </w:r>
    </w:p>
    <w:p w:rsidR="43A85953" w:rsidP="2608F9AA" w:rsidRDefault="2608F9AA" w14:paraId="0B5173D2" w14:textId="18A8E58A">
      <w:pPr>
        <w:pStyle w:val="ListParagraph"/>
        <w:numPr>
          <w:ilvl w:val="1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2608F9AA">
        <w:rPr>
          <w:rFonts w:eastAsiaTheme="minorEastAsia"/>
          <w:sz w:val="22"/>
          <w:szCs w:val="22"/>
        </w:rPr>
        <w:t>Am I understanding, inclusive, approachable, and flexible?</w:t>
      </w:r>
    </w:p>
    <w:p w:rsidR="43A85953" w:rsidP="2608F9AA" w:rsidRDefault="2608F9AA" w14:paraId="185DE497" w14:textId="0B2E5E04">
      <w:pPr>
        <w:pStyle w:val="ListParagraph"/>
        <w:numPr>
          <w:ilvl w:val="1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2608F9AA">
        <w:rPr>
          <w:rFonts w:eastAsiaTheme="minorEastAsia"/>
          <w:sz w:val="22"/>
          <w:szCs w:val="22"/>
        </w:rPr>
        <w:t>Do I set clear student expectations?</w:t>
      </w:r>
    </w:p>
    <w:p w:rsidR="43A85953" w:rsidP="2608F9AA" w:rsidRDefault="2608F9AA" w14:paraId="38C9C1AB" w14:textId="3EABE88E">
      <w:pPr>
        <w:pStyle w:val="ListParagraph"/>
        <w:numPr>
          <w:ilvl w:val="1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2608F9AA">
        <w:rPr>
          <w:rFonts w:eastAsiaTheme="minorEastAsia"/>
          <w:sz w:val="22"/>
          <w:szCs w:val="22"/>
        </w:rPr>
        <w:t>Do I encourage active student involvement in clinical activities?</w:t>
      </w:r>
    </w:p>
    <w:p w:rsidR="43A85953" w:rsidP="2608F9AA" w:rsidRDefault="1A2E33CA" w14:paraId="0CEAA81D" w14:textId="69DEFB99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1A2E33CA">
        <w:rPr>
          <w:rFonts w:eastAsiaTheme="minorEastAsia"/>
          <w:sz w:val="22"/>
          <w:szCs w:val="22"/>
        </w:rPr>
        <w:t>Have I set aside consistent time for direct supervision?</w:t>
      </w:r>
    </w:p>
    <w:p w:rsidR="258A6371" w:rsidP="2608F9AA" w:rsidRDefault="45F6F733" w14:paraId="3804FA4D" w14:textId="534760AA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45F6F733">
        <w:rPr>
          <w:rFonts w:eastAsiaTheme="minorEastAsia"/>
          <w:sz w:val="22"/>
          <w:szCs w:val="22"/>
        </w:rPr>
        <w:t>Do I promote an open and honest relationship with the student?</w:t>
      </w:r>
    </w:p>
    <w:p w:rsidR="0F2644E1" w:rsidP="2608F9AA" w:rsidRDefault="45F6F733" w14:paraId="595EB41D" w14:textId="480101D6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45F6F733">
        <w:rPr>
          <w:rFonts w:eastAsiaTheme="minorEastAsia"/>
          <w:sz w:val="22"/>
          <w:szCs w:val="22"/>
        </w:rPr>
        <w:t>Have I incorporated several learning styles instead of only one? Example, see intervention, do the intervention, teach the intervention.</w:t>
      </w:r>
    </w:p>
    <w:p w:rsidR="3F94B1A2" w:rsidP="2608F9AA" w:rsidRDefault="45F6F733" w14:paraId="4626C290" w14:textId="5E3B90F8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45F6F733">
        <w:rPr>
          <w:rFonts w:eastAsiaTheme="minorEastAsia"/>
          <w:sz w:val="22"/>
          <w:szCs w:val="22"/>
        </w:rPr>
        <w:t>Do I take advantage of teachable moments, by teaching while treating clients, explaining the rationale behind interventions and concepts?</w:t>
      </w:r>
    </w:p>
    <w:p w:rsidR="0A770FD4" w:rsidP="2608F9AA" w:rsidRDefault="58E895AC" w14:paraId="14BE8826" w14:textId="6C77A86D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58E895AC">
        <w:rPr>
          <w:rFonts w:eastAsiaTheme="minorEastAsia"/>
          <w:sz w:val="22"/>
          <w:szCs w:val="22"/>
        </w:rPr>
        <w:t>Have I provided positive and constructive feedback simultaneously? Daily and weekly, while using different methods (written, verbal, and demonstration). Was feedback linked to the Fieldwork Performance Evaluation (FWPE) areas?</w:t>
      </w:r>
    </w:p>
    <w:p w:rsidR="45F6F733" w:rsidP="45F6F733" w:rsidRDefault="7820E3FE" w14:paraId="2D32EC3B" w14:textId="2EE6EF60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7820E3FE">
        <w:rPr>
          <w:rFonts w:eastAsiaTheme="minorEastAsia"/>
          <w:sz w:val="22"/>
          <w:szCs w:val="22"/>
        </w:rPr>
        <w:t>If any of the above has been difficult to achieve, have I partnered with another educator to achieve a more conducive learning environment?  Example, seeking mentorship from a colleague, scheduling student shadowing opportunities, or incorporating another student for a 1 educator:2 student supervision model.</w:t>
      </w:r>
    </w:p>
    <w:p w:rsidR="0F2644E1" w:rsidP="2608F9AA" w:rsidRDefault="7820E3FE" w14:paraId="5D54CAD8" w14:textId="78C44760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7820E3FE">
        <w:rPr>
          <w:rFonts w:eastAsiaTheme="minorEastAsia"/>
          <w:sz w:val="22"/>
          <w:szCs w:val="22"/>
        </w:rPr>
        <w:t>Have I given the student and the Academic Fieldwork Coordinator (AFWC) notification of underachieving performance as early as possible allowing the AFWC to develop a Learning Success Plan?</w:t>
      </w:r>
    </w:p>
    <w:p w:rsidR="0A770FD4" w:rsidP="2608F9AA" w:rsidRDefault="3E7C2C20" w14:paraId="03E6EDA7" w14:textId="68CA31B5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3E7C2C20">
        <w:rPr>
          <w:rFonts w:eastAsiaTheme="minorEastAsia"/>
          <w:sz w:val="22"/>
          <w:szCs w:val="22"/>
        </w:rPr>
        <w:t>Does the Learning Success Plan link all learning goals to the FWPE?</w:t>
      </w:r>
    </w:p>
    <w:p w:rsidR="2D1603B9" w:rsidP="2608F9AA" w:rsidRDefault="6EB7D9E3" w14:paraId="33FA9B2E" w14:textId="4B072E62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6EB7D9E3">
        <w:rPr>
          <w:rFonts w:eastAsiaTheme="minorEastAsia"/>
          <w:sz w:val="22"/>
          <w:szCs w:val="22"/>
        </w:rPr>
        <w:t>Is the AFWC actively involved in assisting with the learning success plan?</w:t>
      </w:r>
    </w:p>
    <w:p w:rsidR="0A770FD4" w:rsidP="2608F9AA" w:rsidRDefault="6EB7D9E3" w14:paraId="11BCA507" w14:textId="131F11AB">
      <w:pPr>
        <w:pStyle w:val="ListParagraph"/>
        <w:numPr>
          <w:ilvl w:val="0"/>
          <w:numId w:val="2"/>
        </w:numPr>
        <w:spacing w:line="259" w:lineRule="auto"/>
        <w:rPr>
          <w:rFonts w:eastAsiaTheme="minorEastAsia"/>
          <w:sz w:val="22"/>
          <w:szCs w:val="22"/>
        </w:rPr>
      </w:pPr>
      <w:r w:rsidRPr="6EB7D9E3">
        <w:rPr>
          <w:rFonts w:eastAsiaTheme="minorEastAsia"/>
          <w:sz w:val="22"/>
          <w:szCs w:val="22"/>
        </w:rPr>
        <w:t>Have I collaborated openly with the AFWC and student on applicable areas of this checklist to maximize the learning experience?</w:t>
      </w:r>
    </w:p>
    <w:p w:rsidR="2D1603B9" w:rsidP="2608F9AA" w:rsidRDefault="2D1603B9" w14:paraId="11B6827B" w14:textId="7A6D6ECE">
      <w:pPr>
        <w:spacing w:line="259" w:lineRule="auto"/>
        <w:rPr>
          <w:rFonts w:eastAsiaTheme="minorEastAsia"/>
          <w:sz w:val="22"/>
          <w:szCs w:val="22"/>
        </w:rPr>
      </w:pPr>
    </w:p>
    <w:p w:rsidR="2D1603B9" w:rsidP="2608F9AA" w:rsidRDefault="2D1603B9" w14:paraId="3B80581A" w14:textId="44A00DBB">
      <w:pPr>
        <w:spacing w:line="259" w:lineRule="auto"/>
        <w:rPr>
          <w:rFonts w:eastAsiaTheme="minorEastAsia"/>
          <w:sz w:val="22"/>
          <w:szCs w:val="22"/>
        </w:rPr>
      </w:pPr>
    </w:p>
    <w:p w:rsidR="2608F9AA" w:rsidP="2608F9AA" w:rsidRDefault="2608F9AA" w14:paraId="3306AA9D" w14:textId="7D484F4A">
      <w:pPr>
        <w:spacing w:line="259" w:lineRule="auto"/>
        <w:rPr>
          <w:rFonts w:eastAsiaTheme="minorEastAsia"/>
          <w:sz w:val="22"/>
          <w:szCs w:val="22"/>
        </w:rPr>
      </w:pPr>
    </w:p>
    <w:p w:rsidR="2608F9AA" w:rsidP="2608F9AA" w:rsidRDefault="2608F9AA" w14:paraId="6E33D567" w14:textId="2968DA59">
      <w:pPr>
        <w:spacing w:line="259" w:lineRule="auto"/>
        <w:jc w:val="center"/>
        <w:rPr>
          <w:rFonts w:eastAsiaTheme="minorEastAsia"/>
          <w:b/>
          <w:bCs/>
          <w:sz w:val="22"/>
          <w:szCs w:val="22"/>
        </w:rPr>
      </w:pPr>
    </w:p>
    <w:p w:rsidR="6EB7D9E3" w:rsidP="6EB7D9E3" w:rsidRDefault="6EB7D9E3" w14:paraId="4BF96124" w14:textId="0617D09E">
      <w:pPr>
        <w:spacing w:line="259" w:lineRule="auto"/>
        <w:jc w:val="center"/>
        <w:rPr>
          <w:rFonts w:eastAsiaTheme="minorEastAsia"/>
          <w:b/>
          <w:bCs/>
          <w:sz w:val="22"/>
          <w:szCs w:val="22"/>
        </w:rPr>
      </w:pPr>
    </w:p>
    <w:p w:rsidR="6EB7D9E3" w:rsidP="6EB7D9E3" w:rsidRDefault="6EB7D9E3" w14:paraId="231022A4" w14:textId="0F09B4CB">
      <w:pPr>
        <w:spacing w:line="259" w:lineRule="auto"/>
        <w:jc w:val="center"/>
        <w:rPr>
          <w:rFonts w:eastAsiaTheme="minorEastAsia"/>
          <w:b/>
          <w:bCs/>
          <w:sz w:val="22"/>
          <w:szCs w:val="22"/>
        </w:rPr>
      </w:pPr>
    </w:p>
    <w:p w:rsidR="2D1603B9" w:rsidP="2608F9AA" w:rsidRDefault="2D915ADF" w14:paraId="2233D7BF" w14:textId="634610B2">
      <w:pPr>
        <w:spacing w:line="259" w:lineRule="auto"/>
        <w:jc w:val="center"/>
        <w:rPr>
          <w:rFonts w:eastAsiaTheme="minorEastAsia"/>
          <w:b/>
          <w:bCs/>
          <w:sz w:val="22"/>
          <w:szCs w:val="22"/>
        </w:rPr>
      </w:pPr>
      <w:r w:rsidRPr="2D915ADF">
        <w:rPr>
          <w:rFonts w:eastAsiaTheme="minorEastAsia"/>
          <w:b/>
          <w:bCs/>
          <w:sz w:val="22"/>
          <w:szCs w:val="22"/>
        </w:rPr>
        <w:t>Step 2: Final Decision on Entry-Level Competence</w:t>
      </w:r>
    </w:p>
    <w:p w:rsidR="2D1603B9" w:rsidP="2608F9AA" w:rsidRDefault="2D1603B9" w14:paraId="2EA3833C" w14:textId="7472B455">
      <w:pPr>
        <w:spacing w:line="259" w:lineRule="auto"/>
        <w:rPr>
          <w:rFonts w:eastAsiaTheme="minorEastAsia"/>
          <w:b/>
          <w:bCs/>
          <w:sz w:val="22"/>
          <w:szCs w:val="22"/>
        </w:rPr>
      </w:pPr>
    </w:p>
    <w:p w:rsidR="6505C2C5" w:rsidP="2608F9AA" w:rsidRDefault="6505C2C5" w14:paraId="52761BA7" w14:textId="33284F7C">
      <w:pPr>
        <w:spacing w:line="259" w:lineRule="auto"/>
        <w:rPr>
          <w:rFonts w:eastAsiaTheme="minorEastAsia"/>
          <w:b/>
          <w:bCs/>
          <w:sz w:val="22"/>
          <w:szCs w:val="22"/>
        </w:rPr>
      </w:pPr>
    </w:p>
    <w:p w:rsidR="2D1603B9" w:rsidP="2608F9AA" w:rsidRDefault="0DC0D14D" w14:paraId="7E804356" w14:textId="1663A9EF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  <w:sz w:val="22"/>
          <w:szCs w:val="22"/>
        </w:rPr>
      </w:pPr>
      <w:r w:rsidRPr="0DC0D14D">
        <w:rPr>
          <w:rFonts w:eastAsiaTheme="minorEastAsia"/>
          <w:sz w:val="22"/>
          <w:szCs w:val="22"/>
        </w:rPr>
        <w:t>Have I used the Educator Checklist above to make appropriate modifications to the learning environment and my own educator strategies? Meaning, have I exhausted most resources within my control to optimize student learning success?</w:t>
      </w:r>
    </w:p>
    <w:p w:rsidR="58400D96" w:rsidP="2608F9AA" w:rsidRDefault="2608F9AA" w14:paraId="5CE52CA0" w14:textId="0BC0AF7E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  <w:sz w:val="22"/>
          <w:szCs w:val="22"/>
        </w:rPr>
      </w:pPr>
      <w:r w:rsidRPr="2608F9AA">
        <w:rPr>
          <w:rFonts w:eastAsiaTheme="minorEastAsia"/>
          <w:sz w:val="22"/>
          <w:szCs w:val="22"/>
        </w:rPr>
        <w:t>Have I communicated and collaborated with the AFWC and student throughout the fieldwork to ensure all supports available were provided?</w:t>
      </w:r>
    </w:p>
    <w:p w:rsidR="69D2A8A9" w:rsidP="2608F9AA" w:rsidRDefault="585714F6" w14:paraId="33B89D9E" w14:textId="38C40561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  <w:sz w:val="22"/>
          <w:szCs w:val="22"/>
        </w:rPr>
      </w:pPr>
      <w:r w:rsidRPr="585714F6">
        <w:rPr>
          <w:rFonts w:eastAsiaTheme="minorEastAsia"/>
          <w:sz w:val="22"/>
          <w:szCs w:val="22"/>
        </w:rPr>
        <w:t xml:space="preserve">Have I used the Final FWPE to decide if the student can demonstrate entry level competence?  </w:t>
      </w:r>
    </w:p>
    <w:p w:rsidR="69D2A8A9" w:rsidP="585714F6" w:rsidRDefault="585714F6" w14:paraId="1DA307C7" w14:textId="3BF29B76">
      <w:pPr>
        <w:spacing w:line="259" w:lineRule="auto"/>
        <w:ind w:firstLine="720"/>
        <w:rPr>
          <w:rFonts w:eastAsiaTheme="minorEastAsia"/>
          <w:sz w:val="22"/>
          <w:szCs w:val="22"/>
        </w:rPr>
      </w:pPr>
      <w:r w:rsidRPr="585714F6">
        <w:rPr>
          <w:rFonts w:eastAsiaTheme="minorEastAsia"/>
          <w:sz w:val="22"/>
          <w:szCs w:val="22"/>
        </w:rPr>
        <w:t>(OTAS: Score of 91 or higher, OTS: Score of 111 or higher)</w:t>
      </w:r>
    </w:p>
    <w:p w:rsidR="69D2A8A9" w:rsidP="2608F9AA" w:rsidRDefault="69D2A8A9" w14:paraId="2FD731C9" w14:textId="63B3E25B">
      <w:pPr>
        <w:spacing w:line="259" w:lineRule="auto"/>
        <w:jc w:val="center"/>
        <w:rPr>
          <w:rFonts w:eastAsiaTheme="minorEastAsia"/>
          <w:b/>
          <w:bCs/>
          <w:sz w:val="22"/>
          <w:szCs w:val="22"/>
        </w:rPr>
      </w:pPr>
    </w:p>
    <w:p w:rsidR="760B85C0" w:rsidP="2608F9AA" w:rsidRDefault="0DC0D14D" w14:paraId="25076110" w14:textId="492D1470">
      <w:pPr>
        <w:spacing w:line="259" w:lineRule="auto"/>
        <w:jc w:val="center"/>
        <w:rPr>
          <w:rFonts w:eastAsiaTheme="minorEastAsia"/>
          <w:b/>
          <w:bCs/>
          <w:sz w:val="22"/>
          <w:szCs w:val="22"/>
        </w:rPr>
      </w:pPr>
      <w:r w:rsidRPr="0DC0D14D">
        <w:rPr>
          <w:rFonts w:eastAsiaTheme="minorEastAsia"/>
          <w:b/>
          <w:bCs/>
          <w:sz w:val="22"/>
          <w:szCs w:val="22"/>
        </w:rPr>
        <w:t>Remember: The Final Fieldwork Performance Evaluation determines Level II student failure.</w:t>
      </w:r>
    </w:p>
    <w:p w:rsidR="2D1603B9" w:rsidP="2608F9AA" w:rsidRDefault="2D1603B9" w14:paraId="4EB8DF25" w14:textId="2666221C">
      <w:pPr>
        <w:spacing w:line="259" w:lineRule="auto"/>
        <w:rPr>
          <w:rFonts w:eastAsiaTheme="minorEastAsia"/>
          <w:sz w:val="22"/>
          <w:szCs w:val="22"/>
        </w:rPr>
      </w:pPr>
    </w:p>
    <w:p w:rsidR="2608F9AA" w:rsidP="2608F9AA" w:rsidRDefault="2608F9AA" w14:paraId="6585CB0E" w14:textId="1ECE6F25">
      <w:pPr>
        <w:spacing w:line="259" w:lineRule="auto"/>
        <w:rPr>
          <w:rFonts w:eastAsiaTheme="minorEastAsia"/>
          <w:sz w:val="22"/>
          <w:szCs w:val="22"/>
          <w:u w:val="single"/>
        </w:rPr>
      </w:pPr>
    </w:p>
    <w:p w:rsidR="4B3ECCDF" w:rsidP="2608F9AA" w:rsidRDefault="4B3ECCDF" w14:paraId="3E4C2679" w14:textId="71281781">
      <w:pPr>
        <w:jc w:val="center"/>
        <w:rPr>
          <w:rFonts w:eastAsiaTheme="minorEastAsia"/>
          <w:sz w:val="22"/>
          <w:szCs w:val="22"/>
        </w:rPr>
      </w:pPr>
    </w:p>
    <w:p w:rsidR="78FAB7CE" w:rsidP="78FAB7CE" w:rsidRDefault="78FAB7CE" w14:paraId="18339519" w14:textId="0CF2B740">
      <w:pPr>
        <w:jc w:val="center"/>
        <w:rPr>
          <w:rFonts w:eastAsiaTheme="minorEastAsia"/>
          <w:sz w:val="22"/>
          <w:szCs w:val="22"/>
        </w:rPr>
      </w:pPr>
    </w:p>
    <w:p w:rsidR="78FAB7CE" w:rsidP="78FAB7CE" w:rsidRDefault="78FAB7CE" w14:paraId="3BEBAE0A" w14:textId="35970509">
      <w:pPr>
        <w:jc w:val="center"/>
        <w:rPr>
          <w:rFonts w:eastAsiaTheme="minorEastAsia"/>
          <w:sz w:val="22"/>
          <w:szCs w:val="22"/>
        </w:rPr>
      </w:pPr>
    </w:p>
    <w:p w:rsidR="78FAB7CE" w:rsidP="78FAB7CE" w:rsidRDefault="78FAB7CE" w14:paraId="171A1DD6" w14:textId="2D72533C">
      <w:pPr>
        <w:jc w:val="center"/>
        <w:rPr>
          <w:rFonts w:eastAsiaTheme="minorEastAsia"/>
          <w:sz w:val="22"/>
          <w:szCs w:val="22"/>
        </w:rPr>
      </w:pPr>
    </w:p>
    <w:p w:rsidR="78FAB7CE" w:rsidP="78FAB7CE" w:rsidRDefault="78FAB7CE" w14:paraId="505CF755" w14:textId="61238BA5">
      <w:pPr>
        <w:jc w:val="center"/>
        <w:rPr>
          <w:rFonts w:eastAsiaTheme="minorEastAsia"/>
          <w:sz w:val="22"/>
          <w:szCs w:val="22"/>
        </w:rPr>
      </w:pPr>
    </w:p>
    <w:p w:rsidR="78FAB7CE" w:rsidP="78FAB7CE" w:rsidRDefault="78FAB7CE" w14:paraId="5A481810" w14:textId="1A6B3DB5">
      <w:pPr>
        <w:jc w:val="center"/>
        <w:rPr>
          <w:rFonts w:eastAsiaTheme="minorEastAsia"/>
          <w:sz w:val="22"/>
          <w:szCs w:val="22"/>
        </w:rPr>
      </w:pPr>
    </w:p>
    <w:p w:rsidR="69D2A8A9" w:rsidP="0DC0D14D" w:rsidRDefault="0DC0D14D" w14:paraId="6248F6C9" w14:textId="3B4DAA8C">
      <w:pPr>
        <w:jc w:val="center"/>
        <w:rPr>
          <w:rFonts w:eastAsiaTheme="minorEastAsia"/>
          <w:sz w:val="22"/>
          <w:szCs w:val="22"/>
        </w:rPr>
      </w:pPr>
      <w:r w:rsidRPr="0DC0D14D">
        <w:rPr>
          <w:rFonts w:eastAsiaTheme="minorEastAsia"/>
          <w:sz w:val="22"/>
          <w:szCs w:val="22"/>
        </w:rPr>
        <w:t>References</w:t>
      </w:r>
    </w:p>
    <w:p w:rsidR="70F8EFBF" w:rsidP="0DC0D14D" w:rsidRDefault="70F8EFBF" w14:paraId="33ADB270" w14:textId="2897AD5F">
      <w:pPr>
        <w:rPr>
          <w:rFonts w:eastAsiaTheme="minorEastAsia"/>
          <w:sz w:val="20"/>
          <w:szCs w:val="20"/>
        </w:rPr>
      </w:pPr>
    </w:p>
    <w:p w:rsidR="2DA4524D" w:rsidP="0DC0D14D" w:rsidRDefault="0DC0D14D" w14:paraId="0DC6AFFD" w14:textId="6E5C0C6A">
      <w:pPr>
        <w:spacing w:line="240" w:lineRule="exact"/>
        <w:rPr>
          <w:rFonts w:eastAsiaTheme="minorEastAsia"/>
          <w:color w:val="000000" w:themeColor="text1"/>
          <w:sz w:val="22"/>
          <w:szCs w:val="22"/>
        </w:rPr>
      </w:pPr>
      <w:proofErr w:type="spellStart"/>
      <w:r w:rsidRPr="0DC0D14D">
        <w:rPr>
          <w:rFonts w:eastAsiaTheme="minorEastAsia"/>
          <w:sz w:val="22"/>
          <w:szCs w:val="22"/>
        </w:rPr>
        <w:t>Andonian</w:t>
      </w:r>
      <w:proofErr w:type="spellEnd"/>
      <w:r w:rsidRPr="0DC0D14D">
        <w:rPr>
          <w:rFonts w:eastAsiaTheme="minorEastAsia"/>
          <w:sz w:val="22"/>
          <w:szCs w:val="22"/>
        </w:rPr>
        <w:t xml:space="preserve">, L. (2012).  Emotional intelligence, self-efficacy, and occupational therapy students’ fieldwork performance.  </w:t>
      </w:r>
      <w:r w:rsidRPr="0DC0D14D">
        <w:rPr>
          <w:rFonts w:eastAsiaTheme="minorEastAsia"/>
          <w:i/>
          <w:iCs/>
          <w:sz w:val="22"/>
          <w:szCs w:val="22"/>
        </w:rPr>
        <w:t>Occupational Therapy in Health Care</w:t>
      </w:r>
      <w:r w:rsidRPr="0DC0D14D">
        <w:rPr>
          <w:rFonts w:eastAsiaTheme="minorEastAsia"/>
          <w:sz w:val="22"/>
          <w:szCs w:val="22"/>
        </w:rPr>
        <w:t xml:space="preserve">, </w:t>
      </w:r>
      <w:r w:rsidRPr="0DC0D14D">
        <w:rPr>
          <w:rFonts w:eastAsiaTheme="minorEastAsia"/>
          <w:i/>
          <w:iCs/>
          <w:sz w:val="22"/>
          <w:szCs w:val="22"/>
        </w:rPr>
        <w:t>27</w:t>
      </w:r>
      <w:r w:rsidRPr="0DC0D14D">
        <w:rPr>
          <w:rFonts w:eastAsiaTheme="minorEastAsia"/>
          <w:sz w:val="22"/>
          <w:szCs w:val="22"/>
        </w:rPr>
        <w:t xml:space="preserve">. </w:t>
      </w:r>
      <w:hyperlink r:id="rId7">
        <w:r w:rsidRPr="0DC0D14D">
          <w:rPr>
            <w:rStyle w:val="Hyperlink"/>
            <w:rFonts w:eastAsiaTheme="minorEastAsia"/>
            <w:color w:val="auto"/>
            <w:sz w:val="22"/>
            <w:szCs w:val="22"/>
          </w:rPr>
          <w:t>https://www.tandfonline.com/doi/full/10.3109/07380577.2012.763199</w:t>
        </w:r>
      </w:hyperlink>
      <w:r w:rsidRPr="0DC0D14D">
        <w:rPr>
          <w:rFonts w:eastAsiaTheme="minorEastAsia"/>
          <w:sz w:val="22"/>
          <w:szCs w:val="22"/>
        </w:rPr>
        <w:t xml:space="preserve"> </w:t>
      </w:r>
    </w:p>
    <w:p w:rsidR="2DA4524D" w:rsidP="0DC0D14D" w:rsidRDefault="2DA4524D" w14:paraId="6B9C0DF3" w14:textId="586B6CDD">
      <w:pPr>
        <w:spacing w:line="240" w:lineRule="exact"/>
        <w:rPr>
          <w:rFonts w:eastAsiaTheme="minorEastAsia"/>
          <w:sz w:val="22"/>
          <w:szCs w:val="22"/>
        </w:rPr>
      </w:pPr>
    </w:p>
    <w:p w:rsidR="2DA4524D" w:rsidP="0DC0D14D" w:rsidRDefault="0DC0D14D" w14:paraId="222FA76F" w14:textId="2EF85E62">
      <w:pPr>
        <w:spacing w:line="240" w:lineRule="exact"/>
        <w:rPr>
          <w:rFonts w:eastAsiaTheme="minorEastAsia"/>
          <w:color w:val="000000" w:themeColor="text1"/>
          <w:sz w:val="22"/>
          <w:szCs w:val="22"/>
        </w:rPr>
      </w:pPr>
      <w:r w:rsidRPr="0DC0D14D">
        <w:rPr>
          <w:rFonts w:eastAsiaTheme="minorEastAsia"/>
          <w:sz w:val="22"/>
          <w:szCs w:val="22"/>
        </w:rPr>
        <w:t xml:space="preserve">Brown, L., Douglas, V., Garrity, J., &amp; Shepherd, C. (2012). What influences mentors to pass or fail students. </w:t>
      </w:r>
      <w:r w:rsidRPr="0DC0D14D">
        <w:rPr>
          <w:rFonts w:eastAsiaTheme="minorEastAsia"/>
          <w:i/>
          <w:iCs/>
          <w:sz w:val="22"/>
          <w:szCs w:val="22"/>
        </w:rPr>
        <w:t>Nursing Management</w:t>
      </w:r>
      <w:r w:rsidRPr="0DC0D14D">
        <w:rPr>
          <w:rFonts w:eastAsiaTheme="minorEastAsia"/>
          <w:sz w:val="22"/>
          <w:szCs w:val="22"/>
        </w:rPr>
        <w:t xml:space="preserve">, </w:t>
      </w:r>
      <w:r w:rsidRPr="0DC0D14D">
        <w:rPr>
          <w:rFonts w:eastAsiaTheme="minorEastAsia"/>
          <w:i/>
          <w:iCs/>
          <w:sz w:val="22"/>
          <w:szCs w:val="22"/>
        </w:rPr>
        <w:t>19</w:t>
      </w:r>
      <w:r w:rsidRPr="0DC0D14D">
        <w:rPr>
          <w:rFonts w:eastAsiaTheme="minorEastAsia"/>
          <w:sz w:val="22"/>
          <w:szCs w:val="22"/>
        </w:rPr>
        <w:t xml:space="preserve">(5), 16–21. </w:t>
      </w:r>
      <w:proofErr w:type="spellStart"/>
      <w:r w:rsidRPr="0DC0D14D">
        <w:rPr>
          <w:rFonts w:eastAsiaTheme="minorEastAsia"/>
          <w:sz w:val="22"/>
          <w:szCs w:val="22"/>
        </w:rPr>
        <w:t>doi</w:t>
      </w:r>
      <w:proofErr w:type="spellEnd"/>
      <w:r w:rsidRPr="0DC0D14D">
        <w:rPr>
          <w:rFonts w:eastAsiaTheme="minorEastAsia"/>
          <w:sz w:val="22"/>
          <w:szCs w:val="22"/>
        </w:rPr>
        <w:t>: 10.7748/nm2012.09.19.5.16.c9260</w:t>
      </w:r>
    </w:p>
    <w:p w:rsidR="2DA4524D" w:rsidP="0DC0D14D" w:rsidRDefault="2DA4524D" w14:paraId="785CA37A" w14:textId="64E5EA9C">
      <w:pPr>
        <w:spacing w:line="240" w:lineRule="exact"/>
        <w:rPr>
          <w:rFonts w:eastAsiaTheme="minorEastAsia"/>
          <w:sz w:val="22"/>
          <w:szCs w:val="22"/>
        </w:rPr>
      </w:pPr>
    </w:p>
    <w:p w:rsidR="2DA4524D" w:rsidP="0DC0D14D" w:rsidRDefault="0DC0D14D" w14:paraId="06110B80" w14:textId="58BDC705">
      <w:pPr>
        <w:spacing w:line="240" w:lineRule="exact"/>
        <w:rPr>
          <w:rFonts w:eastAsiaTheme="minorEastAsia"/>
          <w:color w:val="000000" w:themeColor="text1"/>
          <w:sz w:val="22"/>
          <w:szCs w:val="22"/>
        </w:rPr>
      </w:pPr>
      <w:r w:rsidRPr="0DC0D14D">
        <w:rPr>
          <w:rFonts w:eastAsiaTheme="minorEastAsia"/>
          <w:sz w:val="22"/>
          <w:szCs w:val="22"/>
        </w:rPr>
        <w:t xml:space="preserve">Brown, T., Yu, M., Hewitt, A. &amp; Etherington, J. (2020) Professionalism as a predictor of fieldwork performance in undergraduate occupational therapy students: An exploratory study, </w:t>
      </w:r>
      <w:r w:rsidRPr="0DC0D14D">
        <w:rPr>
          <w:rFonts w:eastAsiaTheme="minorEastAsia"/>
          <w:i/>
          <w:iCs/>
          <w:sz w:val="22"/>
          <w:szCs w:val="22"/>
        </w:rPr>
        <w:t>Occupational Therapy In Health Care</w:t>
      </w:r>
      <w:r w:rsidRPr="0DC0D14D">
        <w:rPr>
          <w:rFonts w:eastAsiaTheme="minorEastAsia"/>
          <w:sz w:val="22"/>
          <w:szCs w:val="22"/>
        </w:rPr>
        <w:t xml:space="preserve">, </w:t>
      </w:r>
      <w:r w:rsidRPr="0DC0D14D">
        <w:rPr>
          <w:rFonts w:eastAsiaTheme="minorEastAsia"/>
          <w:i/>
          <w:iCs/>
          <w:sz w:val="22"/>
          <w:szCs w:val="22"/>
        </w:rPr>
        <w:t>34:2</w:t>
      </w:r>
      <w:r w:rsidRPr="0DC0D14D">
        <w:rPr>
          <w:rFonts w:eastAsiaTheme="minorEastAsia"/>
          <w:sz w:val="22"/>
          <w:szCs w:val="22"/>
        </w:rPr>
        <w:t xml:space="preserve">, 131-154, DOI: </w:t>
      </w:r>
      <w:hyperlink r:id="rId8">
        <w:r w:rsidRPr="0DC0D14D">
          <w:rPr>
            <w:rStyle w:val="Hyperlink"/>
            <w:rFonts w:eastAsiaTheme="minorEastAsia"/>
            <w:color w:val="auto"/>
            <w:sz w:val="22"/>
            <w:szCs w:val="22"/>
          </w:rPr>
          <w:t>10.1080/07380577.2020.1737896</w:t>
        </w:r>
      </w:hyperlink>
    </w:p>
    <w:p w:rsidR="2DA4524D" w:rsidP="0DC0D14D" w:rsidRDefault="2DA4524D" w14:paraId="4D58151C" w14:textId="00EBE48A">
      <w:pPr>
        <w:spacing w:line="240" w:lineRule="exact"/>
        <w:rPr>
          <w:rFonts w:eastAsiaTheme="minorEastAsia"/>
          <w:sz w:val="22"/>
          <w:szCs w:val="22"/>
        </w:rPr>
      </w:pPr>
    </w:p>
    <w:p w:rsidR="2DA4524D" w:rsidP="0DC0D14D" w:rsidRDefault="0DC0D14D" w14:paraId="39CBEEEC" w14:textId="4EA775BF">
      <w:pPr>
        <w:spacing w:line="240" w:lineRule="exact"/>
        <w:rPr>
          <w:rFonts w:eastAsiaTheme="minorEastAsia"/>
          <w:color w:val="000000" w:themeColor="text1"/>
          <w:sz w:val="22"/>
          <w:szCs w:val="22"/>
        </w:rPr>
      </w:pPr>
      <w:r w:rsidRPr="0DC0D14D">
        <w:rPr>
          <w:rFonts w:eastAsiaTheme="minorEastAsia"/>
          <w:sz w:val="22"/>
          <w:szCs w:val="22"/>
        </w:rPr>
        <w:t xml:space="preserve">Gutman, S., </w:t>
      </w:r>
      <w:proofErr w:type="spellStart"/>
      <w:r w:rsidRPr="0DC0D14D">
        <w:rPr>
          <w:rFonts w:eastAsiaTheme="minorEastAsia"/>
          <w:sz w:val="22"/>
          <w:szCs w:val="22"/>
        </w:rPr>
        <w:t>McCreedy</w:t>
      </w:r>
      <w:proofErr w:type="spellEnd"/>
      <w:r w:rsidRPr="0DC0D14D">
        <w:rPr>
          <w:rFonts w:eastAsiaTheme="minorEastAsia"/>
          <w:sz w:val="22"/>
          <w:szCs w:val="22"/>
        </w:rPr>
        <w:t xml:space="preserve">, P., &amp; Heisler, P. (1998). Student level II fieldwork failure: Strategies for intervention. </w:t>
      </w:r>
      <w:r w:rsidRPr="0DC0D14D">
        <w:rPr>
          <w:rFonts w:eastAsiaTheme="minorEastAsia"/>
          <w:i/>
          <w:iCs/>
          <w:sz w:val="22"/>
          <w:szCs w:val="22"/>
        </w:rPr>
        <w:t>American Journal of Occupational Therapy</w:t>
      </w:r>
      <w:r w:rsidRPr="0DC0D14D">
        <w:rPr>
          <w:rFonts w:eastAsiaTheme="minorEastAsia"/>
          <w:sz w:val="22"/>
          <w:szCs w:val="22"/>
        </w:rPr>
        <w:t xml:space="preserve">, </w:t>
      </w:r>
      <w:r w:rsidRPr="0DC0D14D">
        <w:rPr>
          <w:rFonts w:eastAsiaTheme="minorEastAsia"/>
          <w:i/>
          <w:iCs/>
          <w:sz w:val="22"/>
          <w:szCs w:val="22"/>
        </w:rPr>
        <w:t>52</w:t>
      </w:r>
      <w:r w:rsidRPr="0DC0D14D">
        <w:rPr>
          <w:rFonts w:eastAsiaTheme="minorEastAsia"/>
          <w:sz w:val="22"/>
          <w:szCs w:val="22"/>
        </w:rPr>
        <w:t xml:space="preserve">(2), 143–149. </w:t>
      </w:r>
      <w:proofErr w:type="spellStart"/>
      <w:r w:rsidRPr="0DC0D14D">
        <w:rPr>
          <w:rFonts w:eastAsiaTheme="minorEastAsia"/>
          <w:sz w:val="22"/>
          <w:szCs w:val="22"/>
        </w:rPr>
        <w:t>doi</w:t>
      </w:r>
      <w:proofErr w:type="spellEnd"/>
      <w:r w:rsidRPr="0DC0D14D">
        <w:rPr>
          <w:rFonts w:eastAsiaTheme="minorEastAsia"/>
          <w:sz w:val="22"/>
          <w:szCs w:val="22"/>
        </w:rPr>
        <w:t>: 10.5014/ajot.52.2.143</w:t>
      </w:r>
    </w:p>
    <w:p w:rsidR="2DA4524D" w:rsidP="0DC0D14D" w:rsidRDefault="2DA4524D" w14:paraId="2E675228" w14:textId="7132EA42">
      <w:pPr>
        <w:spacing w:line="240" w:lineRule="exact"/>
        <w:rPr>
          <w:rFonts w:eastAsiaTheme="minorEastAsia"/>
          <w:sz w:val="22"/>
          <w:szCs w:val="22"/>
        </w:rPr>
      </w:pPr>
    </w:p>
    <w:p w:rsidR="2DA4524D" w:rsidP="0DC0D14D" w:rsidRDefault="0DC0D14D" w14:paraId="4E140E13" w14:textId="566A07BA">
      <w:pPr>
        <w:spacing w:line="240" w:lineRule="exact"/>
        <w:rPr>
          <w:rFonts w:eastAsiaTheme="minorEastAsia"/>
          <w:color w:val="000000" w:themeColor="text1"/>
          <w:sz w:val="22"/>
          <w:szCs w:val="22"/>
        </w:rPr>
      </w:pPr>
      <w:proofErr w:type="spellStart"/>
      <w:r w:rsidRPr="0DC0D14D">
        <w:rPr>
          <w:rFonts w:eastAsiaTheme="minorEastAsia"/>
          <w:sz w:val="22"/>
          <w:szCs w:val="22"/>
        </w:rPr>
        <w:t>Grenier</w:t>
      </w:r>
      <w:proofErr w:type="spellEnd"/>
      <w:r w:rsidRPr="0DC0D14D">
        <w:rPr>
          <w:rFonts w:eastAsiaTheme="minorEastAsia"/>
          <w:sz w:val="22"/>
          <w:szCs w:val="22"/>
        </w:rPr>
        <w:t xml:space="preserve">, M.L. (2015). Facilitators and barriers to learning in occupational therapy fieldwork education: Student perspectives. </w:t>
      </w:r>
      <w:r w:rsidRPr="0DC0D14D">
        <w:rPr>
          <w:rFonts w:eastAsiaTheme="minorEastAsia"/>
          <w:i/>
          <w:iCs/>
          <w:sz w:val="22"/>
          <w:szCs w:val="22"/>
        </w:rPr>
        <w:t xml:space="preserve">The American Journal of Occupational Therapy, </w:t>
      </w:r>
      <w:r w:rsidRPr="0DC0D14D">
        <w:rPr>
          <w:rFonts w:eastAsiaTheme="minorEastAsia"/>
          <w:sz w:val="22"/>
          <w:szCs w:val="22"/>
        </w:rPr>
        <w:t xml:space="preserve">Vol. 69(Supplement_2), 6912185070p1–6912185070p9. </w:t>
      </w:r>
      <w:hyperlink r:id="rId9">
        <w:r w:rsidRPr="0DC0D14D">
          <w:rPr>
            <w:rStyle w:val="Hyperlink"/>
            <w:rFonts w:eastAsiaTheme="minorEastAsia"/>
            <w:color w:val="auto"/>
            <w:sz w:val="22"/>
            <w:szCs w:val="22"/>
          </w:rPr>
          <w:t>https://doi.org/10.5014/ajot.2015.015180</w:t>
        </w:r>
      </w:hyperlink>
    </w:p>
    <w:p w:rsidR="2DA4524D" w:rsidP="0DC0D14D" w:rsidRDefault="2DA4524D" w14:paraId="3BE92B86" w14:textId="659B2FF2">
      <w:pPr>
        <w:spacing w:line="240" w:lineRule="exact"/>
        <w:rPr>
          <w:rFonts w:eastAsiaTheme="minorEastAsia"/>
          <w:sz w:val="22"/>
          <w:szCs w:val="22"/>
        </w:rPr>
      </w:pPr>
    </w:p>
    <w:p w:rsidR="2DA4524D" w:rsidP="0DC0D14D" w:rsidRDefault="0DC0D14D" w14:paraId="1CAF7080" w14:textId="3143A234">
      <w:pPr>
        <w:spacing w:line="240" w:lineRule="exact"/>
        <w:rPr>
          <w:rFonts w:eastAsiaTheme="minorEastAsia"/>
          <w:color w:val="000000" w:themeColor="text1"/>
          <w:sz w:val="22"/>
          <w:szCs w:val="22"/>
        </w:rPr>
      </w:pPr>
      <w:r w:rsidRPr="0DC0D14D">
        <w:rPr>
          <w:rFonts w:eastAsiaTheme="minorEastAsia"/>
          <w:sz w:val="22"/>
          <w:szCs w:val="22"/>
        </w:rPr>
        <w:t xml:space="preserve">James, K. &amp; Musselman, L. (2006). Commonalities in level II fieldwork failure, </w:t>
      </w:r>
      <w:r w:rsidRPr="0DC0D14D">
        <w:rPr>
          <w:rFonts w:eastAsiaTheme="minorEastAsia"/>
          <w:i/>
          <w:iCs/>
          <w:sz w:val="22"/>
          <w:szCs w:val="22"/>
        </w:rPr>
        <w:t xml:space="preserve">Occupational Therapy </w:t>
      </w:r>
      <w:proofErr w:type="gramStart"/>
      <w:r w:rsidRPr="0DC0D14D">
        <w:rPr>
          <w:rFonts w:eastAsiaTheme="minorEastAsia"/>
          <w:i/>
          <w:iCs/>
          <w:sz w:val="22"/>
          <w:szCs w:val="22"/>
        </w:rPr>
        <w:t>In</w:t>
      </w:r>
      <w:proofErr w:type="gramEnd"/>
      <w:r w:rsidRPr="0DC0D14D">
        <w:rPr>
          <w:rFonts w:eastAsiaTheme="minorEastAsia"/>
          <w:i/>
          <w:iCs/>
          <w:sz w:val="22"/>
          <w:szCs w:val="22"/>
        </w:rPr>
        <w:t xml:space="preserve"> Health Care</w:t>
      </w:r>
      <w:r w:rsidRPr="0DC0D14D">
        <w:rPr>
          <w:rFonts w:eastAsiaTheme="minorEastAsia"/>
          <w:sz w:val="22"/>
          <w:szCs w:val="22"/>
        </w:rPr>
        <w:t xml:space="preserve">, </w:t>
      </w:r>
      <w:r w:rsidRPr="0DC0D14D">
        <w:rPr>
          <w:rFonts w:eastAsiaTheme="minorEastAsia"/>
          <w:i/>
          <w:iCs/>
          <w:sz w:val="22"/>
          <w:szCs w:val="22"/>
        </w:rPr>
        <w:t>19:4</w:t>
      </w:r>
      <w:r w:rsidRPr="0DC0D14D">
        <w:rPr>
          <w:rFonts w:eastAsiaTheme="minorEastAsia"/>
          <w:sz w:val="22"/>
          <w:szCs w:val="22"/>
        </w:rPr>
        <w:t xml:space="preserve">, 67-81, DOI: </w:t>
      </w:r>
      <w:hyperlink r:id="rId10">
        <w:r w:rsidRPr="0DC0D14D">
          <w:rPr>
            <w:rStyle w:val="Hyperlink"/>
            <w:rFonts w:eastAsiaTheme="minorEastAsia"/>
            <w:color w:val="auto"/>
            <w:sz w:val="22"/>
            <w:szCs w:val="22"/>
          </w:rPr>
          <w:t>10.1080/J003v19n04_05</w:t>
        </w:r>
      </w:hyperlink>
    </w:p>
    <w:p w:rsidR="2DA4524D" w:rsidP="0DC0D14D" w:rsidRDefault="2DA4524D" w14:paraId="79008BE5" w14:textId="65AB8CD9">
      <w:pPr>
        <w:spacing w:line="240" w:lineRule="exact"/>
        <w:rPr>
          <w:rFonts w:eastAsiaTheme="minorEastAsia"/>
          <w:sz w:val="22"/>
          <w:szCs w:val="22"/>
        </w:rPr>
      </w:pPr>
    </w:p>
    <w:p w:rsidR="2DA4524D" w:rsidP="0DC0D14D" w:rsidRDefault="0DC0D14D" w14:paraId="4A99B3F0" w14:textId="70DC4BF6">
      <w:pPr>
        <w:spacing w:line="240" w:lineRule="exact"/>
        <w:rPr>
          <w:rFonts w:eastAsiaTheme="minorEastAsia"/>
          <w:color w:val="000000" w:themeColor="text1"/>
          <w:sz w:val="22"/>
          <w:szCs w:val="22"/>
        </w:rPr>
      </w:pPr>
      <w:r w:rsidRPr="0DC0D14D">
        <w:rPr>
          <w:rFonts w:eastAsiaTheme="minorEastAsia"/>
          <w:sz w:val="22"/>
          <w:szCs w:val="22"/>
        </w:rPr>
        <w:t xml:space="preserve">Rodger, S., Fitzgerald, C., Davila, W., Millar, F., &amp; Allison, H. (2011). What makes a quality occupational therapy practice placement? Students’ and practice educators’ perspectives. </w:t>
      </w:r>
      <w:r w:rsidRPr="0DC0D14D">
        <w:rPr>
          <w:rFonts w:eastAsiaTheme="minorEastAsia"/>
          <w:i/>
          <w:iCs/>
          <w:sz w:val="22"/>
          <w:szCs w:val="22"/>
        </w:rPr>
        <w:t>Australian Occupational Therapy Journal</w:t>
      </w:r>
      <w:r w:rsidRPr="0DC0D14D">
        <w:rPr>
          <w:rFonts w:eastAsiaTheme="minorEastAsia"/>
          <w:sz w:val="22"/>
          <w:szCs w:val="22"/>
        </w:rPr>
        <w:t xml:space="preserve">, </w:t>
      </w:r>
      <w:r w:rsidRPr="0DC0D14D">
        <w:rPr>
          <w:rFonts w:eastAsiaTheme="minorEastAsia"/>
          <w:i/>
          <w:iCs/>
          <w:sz w:val="22"/>
          <w:szCs w:val="22"/>
        </w:rPr>
        <w:t>58</w:t>
      </w:r>
      <w:r w:rsidRPr="0DC0D14D">
        <w:rPr>
          <w:rFonts w:eastAsiaTheme="minorEastAsia"/>
          <w:sz w:val="22"/>
          <w:szCs w:val="22"/>
        </w:rPr>
        <w:t xml:space="preserve">(3), 195–202. </w:t>
      </w:r>
      <w:proofErr w:type="spellStart"/>
      <w:r w:rsidRPr="0DC0D14D">
        <w:rPr>
          <w:rFonts w:eastAsiaTheme="minorEastAsia"/>
          <w:sz w:val="22"/>
          <w:szCs w:val="22"/>
        </w:rPr>
        <w:t>doi</w:t>
      </w:r>
      <w:proofErr w:type="spellEnd"/>
      <w:r w:rsidRPr="0DC0D14D">
        <w:rPr>
          <w:rFonts w:eastAsiaTheme="minorEastAsia"/>
          <w:sz w:val="22"/>
          <w:szCs w:val="22"/>
        </w:rPr>
        <w:t>: 10.1111/j.1440-1630.2010.00903</w:t>
      </w:r>
    </w:p>
    <w:p w:rsidR="2DA4524D" w:rsidP="0DC0D14D" w:rsidRDefault="2DA4524D" w14:paraId="249AD82E" w14:textId="15C1645A">
      <w:pPr>
        <w:rPr>
          <w:rFonts w:eastAsiaTheme="minorEastAsia"/>
          <w:sz w:val="20"/>
          <w:szCs w:val="20"/>
        </w:rPr>
      </w:pPr>
    </w:p>
    <w:p w:rsidR="2DA4524D" w:rsidP="1335E063" w:rsidRDefault="2DA4524D" w14:paraId="5F769A76" w14:textId="62F161D9">
      <w:pPr>
        <w:jc w:val="center"/>
      </w:pPr>
    </w:p>
    <w:sectPr w:rsidR="2DA4524D" w:rsidSect="00EE6E42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3F0" w:rsidRDefault="00A913F0" w14:paraId="16B5BB23" w14:textId="77777777">
      <w:r>
        <w:separator/>
      </w:r>
    </w:p>
  </w:endnote>
  <w:endnote w:type="continuationSeparator" w:id="0">
    <w:p w:rsidR="00A913F0" w:rsidRDefault="00A913F0" w14:paraId="213DCF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557"/>
      <w:gridCol w:w="6643"/>
    </w:tblGrid>
    <w:tr w:rsidR="1335E063" w:rsidTr="32253215" w14:paraId="134BCDA5" w14:textId="77777777">
      <w:tc>
        <w:tcPr>
          <w:tcW w:w="3600" w:type="dxa"/>
          <w:tcMar/>
        </w:tcPr>
        <w:p w:rsidR="1335E063" w:rsidP="1335E063" w:rsidRDefault="1335E063" w14:paraId="0E6BFA6C" w14:textId="53E08085">
          <w:pPr>
            <w:pStyle w:val="Header"/>
            <w:ind w:left="-115"/>
          </w:pPr>
        </w:p>
      </w:tc>
      <w:tc>
        <w:tcPr>
          <w:tcW w:w="557" w:type="dxa"/>
          <w:tcMar/>
        </w:tcPr>
        <w:p w:rsidR="1335E063" w:rsidP="1335E063" w:rsidRDefault="1335E063" w14:paraId="0C7D2452" w14:textId="05FD1EFE">
          <w:pPr>
            <w:pStyle w:val="Header"/>
            <w:jc w:val="center"/>
          </w:pPr>
        </w:p>
      </w:tc>
      <w:tc>
        <w:tcPr>
          <w:tcW w:w="6643" w:type="dxa"/>
          <w:tcMar/>
        </w:tcPr>
        <w:p w:rsidR="1335E063" w:rsidP="1335E063" w:rsidRDefault="1335E063" w14:paraId="24681D1C" w14:textId="489DBCC2">
          <w:pPr>
            <w:pStyle w:val="Header"/>
            <w:ind w:right="-115"/>
            <w:jc w:val="right"/>
          </w:pPr>
          <w:r w:rsidR="32253215">
            <w:rPr/>
            <w:t>Sarah Klunk, MBA, OTR/L, CTP &amp; Wendy Warner, OTD, OT/L, CEAS</w:t>
          </w:r>
        </w:p>
      </w:tc>
    </w:tr>
  </w:tbl>
  <w:p w:rsidR="1335E063" w:rsidP="1335E063" w:rsidRDefault="1335E063" w14:paraId="28DF31B7" w14:textId="7BBB3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3F0" w:rsidRDefault="00A913F0" w14:paraId="154DBA4C" w14:textId="77777777">
      <w:r>
        <w:separator/>
      </w:r>
    </w:p>
  </w:footnote>
  <w:footnote w:type="continuationSeparator" w:id="0">
    <w:p w:rsidR="00A913F0" w:rsidRDefault="00A913F0" w14:paraId="6BC82D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335E063" w:rsidTr="1335E063" w14:paraId="7E36CBFB" w14:textId="77777777">
      <w:tc>
        <w:tcPr>
          <w:tcW w:w="3600" w:type="dxa"/>
        </w:tcPr>
        <w:p w:rsidR="1335E063" w:rsidP="1335E063" w:rsidRDefault="1335E063" w14:paraId="7AA18A39" w14:textId="2B220C60">
          <w:pPr>
            <w:pStyle w:val="Header"/>
            <w:ind w:left="-115"/>
          </w:pPr>
        </w:p>
      </w:tc>
      <w:tc>
        <w:tcPr>
          <w:tcW w:w="3600" w:type="dxa"/>
        </w:tcPr>
        <w:p w:rsidR="1335E063" w:rsidP="1335E063" w:rsidRDefault="1335E063" w14:paraId="623D048D" w14:textId="350970B1">
          <w:pPr>
            <w:pStyle w:val="Header"/>
            <w:jc w:val="center"/>
          </w:pPr>
        </w:p>
      </w:tc>
      <w:tc>
        <w:tcPr>
          <w:tcW w:w="3600" w:type="dxa"/>
        </w:tcPr>
        <w:p w:rsidR="1335E063" w:rsidP="1335E063" w:rsidRDefault="1335E063" w14:paraId="1C8A03F4" w14:textId="3F3E45E0">
          <w:pPr>
            <w:pStyle w:val="Header"/>
            <w:ind w:right="-115"/>
            <w:jc w:val="right"/>
          </w:pPr>
        </w:p>
      </w:tc>
    </w:tr>
  </w:tbl>
  <w:p w:rsidR="1335E063" w:rsidP="1335E063" w:rsidRDefault="1335E063" w14:paraId="015C4BA8" w14:textId="6924D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CBD7"/>
    <w:multiLevelType w:val="hybridMultilevel"/>
    <w:tmpl w:val="7AFC75E2"/>
    <w:lvl w:ilvl="0" w:tplc="D7F0BBD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EF6E6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840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86E2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E675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825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5A00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A896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A0D1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AE9F6C"/>
    <w:multiLevelType w:val="hybridMultilevel"/>
    <w:tmpl w:val="98321EFA"/>
    <w:lvl w:ilvl="0" w:tplc="DFF4555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6BE52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0CE4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28D3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36B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FE7C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565D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E618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7E70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177D5A"/>
    <w:multiLevelType w:val="hybridMultilevel"/>
    <w:tmpl w:val="0F00C8E2"/>
    <w:lvl w:ilvl="0" w:tplc="00AE773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3E441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96BB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78B4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1CE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8C82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BC09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865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5657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23D5E4"/>
    <w:multiLevelType w:val="hybridMultilevel"/>
    <w:tmpl w:val="8AE4EDCE"/>
    <w:lvl w:ilvl="0" w:tplc="AB2C2AD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5109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7487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2EB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22F4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D277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410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BE95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F49F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1065547">
    <w:abstractNumId w:val="2"/>
  </w:num>
  <w:num w:numId="2" w16cid:durableId="1860966683">
    <w:abstractNumId w:val="0"/>
  </w:num>
  <w:num w:numId="3" w16cid:durableId="1025446635">
    <w:abstractNumId w:val="1"/>
  </w:num>
  <w:num w:numId="4" w16cid:durableId="1536194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5F4CFD"/>
    <w:rsid w:val="006427D1"/>
    <w:rsid w:val="00A913F0"/>
    <w:rsid w:val="00D1010D"/>
    <w:rsid w:val="00EE6E42"/>
    <w:rsid w:val="09CF343C"/>
    <w:rsid w:val="0A770FD4"/>
    <w:rsid w:val="0BCE4DED"/>
    <w:rsid w:val="0D7A21F8"/>
    <w:rsid w:val="0DC0D14D"/>
    <w:rsid w:val="0F2644E1"/>
    <w:rsid w:val="103164C7"/>
    <w:rsid w:val="103AC981"/>
    <w:rsid w:val="10525271"/>
    <w:rsid w:val="11496E68"/>
    <w:rsid w:val="1335E063"/>
    <w:rsid w:val="15C850F6"/>
    <w:rsid w:val="16B1ECB5"/>
    <w:rsid w:val="1710D454"/>
    <w:rsid w:val="185448DB"/>
    <w:rsid w:val="1A2E33CA"/>
    <w:rsid w:val="20AB042C"/>
    <w:rsid w:val="22315924"/>
    <w:rsid w:val="258A6371"/>
    <w:rsid w:val="2608F9AA"/>
    <w:rsid w:val="2860AD99"/>
    <w:rsid w:val="29FD8632"/>
    <w:rsid w:val="2D1603B9"/>
    <w:rsid w:val="2D915ADF"/>
    <w:rsid w:val="2DA4524D"/>
    <w:rsid w:val="32253215"/>
    <w:rsid w:val="3330A281"/>
    <w:rsid w:val="35AF416A"/>
    <w:rsid w:val="367694DB"/>
    <w:rsid w:val="3AE0B5CD"/>
    <w:rsid w:val="3B3CEE74"/>
    <w:rsid w:val="3E7C2C20"/>
    <w:rsid w:val="3F94B1A2"/>
    <w:rsid w:val="420BB411"/>
    <w:rsid w:val="43A85953"/>
    <w:rsid w:val="4406680A"/>
    <w:rsid w:val="45F6F733"/>
    <w:rsid w:val="492930B2"/>
    <w:rsid w:val="4B3ECCDF"/>
    <w:rsid w:val="511C0BC1"/>
    <w:rsid w:val="521E846D"/>
    <w:rsid w:val="58400D96"/>
    <w:rsid w:val="585714F6"/>
    <w:rsid w:val="58E895AC"/>
    <w:rsid w:val="5CE2B7F9"/>
    <w:rsid w:val="60DFD07B"/>
    <w:rsid w:val="61E551AD"/>
    <w:rsid w:val="6505C2C5"/>
    <w:rsid w:val="663CF835"/>
    <w:rsid w:val="69D2A8A9"/>
    <w:rsid w:val="6EB7D9E3"/>
    <w:rsid w:val="70F8EFBF"/>
    <w:rsid w:val="71A57587"/>
    <w:rsid w:val="760B85C0"/>
    <w:rsid w:val="7820E3FE"/>
    <w:rsid w:val="78FAB7CE"/>
    <w:rsid w:val="7AB1A8CA"/>
    <w:rsid w:val="7D5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80/07380577.2020.1737896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tandfonline.com/doi/full/10.3109/07380577.2012.763199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https://doi.org/10.1080/J003v19n04_05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doi.org/10.5014/ajot.2015.015180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Sarah Klunk</lastModifiedBy>
  <revision>5</revision>
  <dcterms:created xsi:type="dcterms:W3CDTF">2022-10-20T23:42:00.0000000Z</dcterms:created>
  <dcterms:modified xsi:type="dcterms:W3CDTF">2023-02-27T21:55:15.9521243Z</dcterms:modified>
</coreProperties>
</file>